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eastAsia="方正小标宋_GBK"/>
          <w:sz w:val="36"/>
          <w:szCs w:val="36"/>
          <w:highlight w:val="none"/>
        </w:rPr>
      </w:pPr>
      <w:r>
        <w:rPr>
          <w:rFonts w:hint="eastAsia" w:ascii="方正小标宋_GBK" w:eastAsia="方正小标宋_GBK"/>
          <w:sz w:val="36"/>
          <w:szCs w:val="36"/>
          <w:highlight w:val="none"/>
        </w:rPr>
        <w:t>上海银行业金融机构消费者保护总结报告</w:t>
      </w:r>
    </w:p>
    <w:p>
      <w:pPr>
        <w:jc w:val="center"/>
        <w:rPr>
          <w:rFonts w:ascii="方正小标宋_GBK" w:eastAsia="方正小标宋_GBK"/>
          <w:sz w:val="36"/>
          <w:szCs w:val="36"/>
          <w:highlight w:val="none"/>
        </w:rPr>
      </w:pPr>
      <w:r>
        <w:rPr>
          <w:rFonts w:hint="eastAsia" w:ascii="方正小标宋_GBK" w:eastAsia="方正小标宋_GBK"/>
          <w:sz w:val="36"/>
          <w:szCs w:val="36"/>
          <w:highlight w:val="none"/>
        </w:rPr>
        <w:t>（2018第</w:t>
      </w:r>
      <w:r>
        <w:rPr>
          <w:rFonts w:hint="eastAsia" w:ascii="方正小标宋_GBK" w:eastAsia="方正小标宋_GBK"/>
          <w:sz w:val="36"/>
          <w:szCs w:val="36"/>
          <w:highlight w:val="none"/>
          <w:lang w:val="en-US" w:eastAsia="zh-CN"/>
        </w:rPr>
        <w:t>4</w:t>
      </w:r>
      <w:r>
        <w:rPr>
          <w:rFonts w:hint="eastAsia" w:ascii="方正小标宋_GBK" w:eastAsia="方正小标宋_GBK"/>
          <w:sz w:val="36"/>
          <w:szCs w:val="36"/>
          <w:highlight w:val="none"/>
        </w:rPr>
        <w:t>季度）</w:t>
      </w:r>
    </w:p>
    <w:p>
      <w:pPr>
        <w:rPr>
          <w:rFonts w:ascii="仿宋_GB2312" w:hAnsi="宋体" w:eastAsia="仿宋_GB2312"/>
          <w:sz w:val="30"/>
          <w:szCs w:val="30"/>
          <w:highlight w:val="none"/>
        </w:rPr>
      </w:pPr>
      <w:r>
        <w:rPr>
          <w:rFonts w:hint="eastAsia" w:ascii="仿宋_GB2312" w:eastAsia="仿宋_GB2312"/>
          <w:sz w:val="30"/>
          <w:szCs w:val="30"/>
          <w:highlight w:val="none"/>
        </w:rPr>
        <w:t xml:space="preserve">    </w:t>
      </w:r>
      <w:r>
        <w:rPr>
          <w:rFonts w:hint="eastAsia" w:ascii="仿宋_GB2312" w:hAnsi="宋体" w:eastAsia="仿宋_GB2312"/>
          <w:sz w:val="30"/>
          <w:szCs w:val="30"/>
          <w:highlight w:val="none"/>
        </w:rPr>
        <w:t>一、消费者保护工作自评价总体意见</w:t>
      </w:r>
    </w:p>
    <w:p>
      <w:pPr>
        <w:ind w:firstLine="600"/>
        <w:rPr>
          <w:rFonts w:ascii="仿宋_GB2312" w:hAnsi="宋体" w:eastAsia="仿宋_GB2312"/>
          <w:sz w:val="30"/>
          <w:szCs w:val="30"/>
          <w:highlight w:val="none"/>
        </w:rPr>
      </w:pPr>
      <w:r>
        <w:rPr>
          <w:rFonts w:hint="eastAsia" w:ascii="仿宋_GB2312" w:hAnsi="宋体" w:eastAsia="仿宋_GB2312"/>
          <w:sz w:val="30"/>
          <w:szCs w:val="30"/>
          <w:highlight w:val="none"/>
          <w:lang w:eastAsia="zh-CN"/>
        </w:rPr>
        <w:t>本季度</w:t>
      </w:r>
      <w:r>
        <w:rPr>
          <w:rFonts w:hint="eastAsia" w:ascii="仿宋_GB2312" w:hAnsi="宋体" w:eastAsia="仿宋_GB2312"/>
          <w:sz w:val="30"/>
          <w:szCs w:val="30"/>
          <w:highlight w:val="none"/>
        </w:rPr>
        <w:t>我公司消费者保护开展的相关工作包括：对</w:t>
      </w:r>
      <w:r>
        <w:rPr>
          <w:rFonts w:ascii="仿宋_GB2312" w:hAnsi="宋体" w:eastAsia="仿宋_GB2312"/>
          <w:sz w:val="30"/>
          <w:szCs w:val="30"/>
          <w:highlight w:val="none"/>
        </w:rPr>
        <w:t>1</w:t>
      </w:r>
      <w:r>
        <w:rPr>
          <w:rFonts w:hint="eastAsia" w:ascii="仿宋_GB2312" w:hAnsi="宋体" w:eastAsia="仿宋_GB2312"/>
          <w:sz w:val="30"/>
          <w:szCs w:val="30"/>
          <w:highlight w:val="none"/>
          <w:lang w:val="en-US" w:eastAsia="zh-CN"/>
        </w:rPr>
        <w:t>7</w:t>
      </w:r>
      <w:r>
        <w:rPr>
          <w:rFonts w:hint="eastAsia" w:ascii="仿宋_GB2312" w:hAnsi="宋体" w:eastAsia="仿宋_GB2312"/>
          <w:sz w:val="30"/>
          <w:szCs w:val="30"/>
          <w:highlight w:val="none"/>
        </w:rPr>
        <w:t>个产品和服务进行了消费者保护评估，受理有效客户投诉</w:t>
      </w:r>
      <w:r>
        <w:rPr>
          <w:rFonts w:hint="eastAsia" w:ascii="仿宋_GB2312" w:hAnsi="宋体" w:eastAsia="仿宋_GB2312"/>
          <w:sz w:val="30"/>
          <w:szCs w:val="30"/>
          <w:highlight w:val="none"/>
          <w:lang w:val="en-US" w:eastAsia="zh-CN"/>
        </w:rPr>
        <w:t>3</w:t>
      </w:r>
      <w:r>
        <w:rPr>
          <w:rFonts w:hint="eastAsia" w:ascii="仿宋_GB2312" w:hAnsi="宋体" w:eastAsia="仿宋_GB2312"/>
          <w:sz w:val="30"/>
          <w:szCs w:val="30"/>
          <w:highlight w:val="none"/>
        </w:rPr>
        <w:t>件。</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二、涉及消费者保护的部门组织建立、调整情况</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我公司已建立消费者保护相关牵头部门，本季度按照《上海银监局办公室关于转发〈中国银监会办公厅关于加强银行业消费者权益保护解决当前群众关切问题指导意见〉的通知》的要求设立了消保专职部门及专岗专人，本季度无调整。</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三、涉及消费者保护的内部控制、绩效考核、产品业务等制度及系统建立、调整及执行情况</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我公司建立了一系列有关消费者权益保护的内部控制、系统配套、绩效考核等。本季度我公司修订下发《华宝信托有限责任公司金融消费者权益保护办法》，</w:t>
      </w:r>
      <w:r>
        <w:rPr>
          <w:rFonts w:hint="eastAsia" w:ascii="仿宋_GB2312" w:hAnsi="宋体" w:eastAsia="仿宋_GB2312"/>
          <w:sz w:val="30"/>
          <w:szCs w:val="30"/>
          <w:highlight w:val="none"/>
          <w:lang w:val="en-US" w:eastAsia="zh-CN"/>
        </w:rPr>
        <w:t>进一步完善消费者权益保护制度体系；明确了合规管理部门作为公司投诉处理牵头部门的职责；明确了公司在产品管理和服务提供中应当落实的消费者权益保护责任；明确了公司开展消费者金融知识宣传教育的责任；建立了公司消费者权益保护工作内部考核与评价机制。修订《销售合规管理办法》，完善公司在产品销售推介环节投资者适当性管理、销售过程录音录像、销售标准话术等规范性要求</w:t>
      </w:r>
      <w:r>
        <w:rPr>
          <w:rFonts w:hint="eastAsia" w:ascii="仿宋_GB2312" w:hAnsi="宋体" w:eastAsia="仿宋_GB2312"/>
          <w:sz w:val="30"/>
          <w:szCs w:val="30"/>
          <w:highlight w:val="none"/>
          <w:lang w:eastAsia="zh-CN"/>
        </w:rPr>
        <w:t>。</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四、对本公司自主开发产品（业务）的消费者保护评估情况</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我公司于四季度继续针对项目推介材料进行合规性审查，向客户做好产品信息披露工作，确保投资者清楚项目进度，便于客户进行投资决策；对于发生项目延期等特殊事项的，及时做好客户临时信息披露工作；对于到期兑付项目，按合同约定及时完成兑付工作。</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五、外部检查发现的涉及消费者保护问题</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四季度外部检查中未发现涉及消费者保护的问题。</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六、直接受理及外部转办的客户投诉中发现的问题</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四季度直接受理客户投诉</w:t>
      </w:r>
      <w:r>
        <w:rPr>
          <w:rFonts w:hint="eastAsia" w:ascii="仿宋_GB2312" w:hAnsi="宋体" w:eastAsia="仿宋_GB2312"/>
          <w:sz w:val="30"/>
          <w:szCs w:val="30"/>
          <w:highlight w:val="none"/>
          <w:lang w:val="en-US" w:eastAsia="zh-CN"/>
        </w:rPr>
        <w:t>3</w:t>
      </w:r>
      <w:r>
        <w:rPr>
          <w:rFonts w:hint="eastAsia" w:ascii="仿宋_GB2312" w:hAnsi="宋体" w:eastAsia="仿宋_GB2312"/>
          <w:sz w:val="30"/>
          <w:szCs w:val="30"/>
          <w:highlight w:val="none"/>
          <w:lang w:eastAsia="zh-CN"/>
        </w:rPr>
        <w:t>件，其中受理监管转办投诉</w:t>
      </w:r>
      <w:r>
        <w:rPr>
          <w:rFonts w:hint="eastAsia" w:ascii="仿宋_GB2312" w:hAnsi="宋体" w:eastAsia="仿宋_GB2312"/>
          <w:sz w:val="30"/>
          <w:szCs w:val="30"/>
          <w:highlight w:val="none"/>
          <w:lang w:val="en-US" w:eastAsia="zh-CN"/>
        </w:rPr>
        <w:t>1</w:t>
      </w:r>
      <w:r>
        <w:rPr>
          <w:rFonts w:hint="eastAsia" w:ascii="仿宋_GB2312" w:hAnsi="宋体" w:eastAsia="仿宋_GB2312"/>
          <w:sz w:val="30"/>
          <w:szCs w:val="30"/>
          <w:highlight w:val="none"/>
          <w:lang w:eastAsia="zh-CN"/>
        </w:rPr>
        <w:t>件，重复投诉</w:t>
      </w:r>
      <w:r>
        <w:rPr>
          <w:rFonts w:hint="eastAsia" w:ascii="仿宋_GB2312" w:hAnsi="宋体" w:eastAsia="仿宋_GB2312"/>
          <w:sz w:val="30"/>
          <w:szCs w:val="30"/>
          <w:highlight w:val="none"/>
          <w:lang w:val="en-US" w:eastAsia="zh-CN"/>
        </w:rPr>
        <w:t>1件</w:t>
      </w:r>
      <w:r>
        <w:rPr>
          <w:rFonts w:hint="eastAsia" w:ascii="仿宋_GB2312" w:hAnsi="宋体" w:eastAsia="仿宋_GB2312"/>
          <w:sz w:val="30"/>
          <w:szCs w:val="30"/>
          <w:highlight w:val="none"/>
          <w:lang w:eastAsia="zh-CN"/>
        </w:rPr>
        <w:t>。</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四季度受理的重复</w:t>
      </w:r>
      <w:r>
        <w:rPr>
          <w:rFonts w:hint="eastAsia" w:ascii="仿宋_GB2312" w:hAnsi="宋体" w:eastAsia="仿宋_GB2312"/>
          <w:sz w:val="30"/>
          <w:szCs w:val="30"/>
          <w:highlight w:val="none"/>
          <w:lang w:val="en-US" w:eastAsia="zh-CN"/>
        </w:rPr>
        <w:t>投诉与我司“华宝铁狮门基金1号集合资金信托计划”相关。</w:t>
      </w:r>
      <w:r>
        <w:rPr>
          <w:rFonts w:hint="eastAsia" w:ascii="仿宋_GB2312" w:hAnsi="宋体" w:eastAsia="仿宋_GB2312"/>
          <w:sz w:val="30"/>
          <w:szCs w:val="30"/>
          <w:highlight w:val="none"/>
          <w:lang w:eastAsia="zh-CN"/>
        </w:rPr>
        <w:t>客户</w:t>
      </w:r>
      <w:bookmarkStart w:id="0" w:name="_GoBack"/>
      <w:bookmarkEnd w:id="0"/>
      <w:r>
        <w:rPr>
          <w:rFonts w:hint="eastAsia" w:ascii="仿宋_GB2312" w:hAnsi="宋体" w:eastAsia="仿宋_GB2312"/>
          <w:sz w:val="30"/>
          <w:szCs w:val="30"/>
          <w:highlight w:val="none"/>
          <w:lang w:eastAsia="zh-CN"/>
        </w:rPr>
        <w:t>投诉原因主要是该项目发生延期且尚未给出具体退出时间，客户认为我司在销售推介环节存在违规，在存续期管理和信息披露方面存在失职。我公司高度重视客户投诉，对于客户投诉反映的问题，已开展了调查和检视，同时一直在尽力接待信托计划委托人的来电、来访，也欢迎委托人与我公司沟通。我公司成立专项工作组，已准备应急预案并初步拟定了解决方案。后续我公司会将该项目投诉的处理情况反馈监管。</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七、开展的消费者教育情况</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四季度，我公司根据银保监会下发了《中国银保监会办公厅关于银行业保险业防范和打击非法集资、非法放贷、金融诈骗有关工作的通知》开展了以防范非法集资、非法放贷、金融诈骗为主题的宣传活动，华宝信托为投资者梳理了非法集资、非法放贷、金融诈骗的风险特征和防范要点，旨在帮助广大投资者擦亮双眼、提高风险防范意识。我公司利用本公司各项资源，结合公司特色，利用官微、官网等开展线上金融知识普及，同时利用电子屏等进行线下公众宣传。</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八、与消费者保护相关的负面舆情、重大突发事件及诉讼、仲裁等情况</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在广播、电视、报纸、互联网等媒体上未出现关于我公司消费者保护的负面舆情或重大突发事件。</w:t>
      </w:r>
    </w:p>
    <w:p>
      <w:pPr>
        <w:ind w:firstLine="600"/>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我公司未发生与消费者保护相关的、且已裁决或判决生效的诉讼或仲裁。</w:t>
      </w:r>
    </w:p>
    <w:p>
      <w:pPr>
        <w:ind w:firstLine="600"/>
        <w:rPr>
          <w:rFonts w:hint="eastAsia" w:ascii="仿宋_GB2312" w:hAnsi="宋体" w:eastAsia="仿宋_GB2312"/>
          <w:sz w:val="30"/>
          <w:szCs w:val="30"/>
          <w:highlight w:val="none"/>
          <w:lang w:eastAsia="zh-CN"/>
        </w:rPr>
      </w:pPr>
    </w:p>
    <w:p>
      <w:pPr>
        <w:ind w:firstLine="600"/>
        <w:rPr>
          <w:rFonts w:hint="eastAsia" w:ascii="仿宋_GB2312" w:hAnsi="宋体" w:eastAsia="仿宋_GB2312"/>
          <w:sz w:val="30"/>
          <w:szCs w:val="30"/>
          <w:highlight w:val="none"/>
          <w:lang w:eastAsia="zh-CN"/>
        </w:rPr>
      </w:pPr>
    </w:p>
    <w:p>
      <w:pPr>
        <w:ind w:firstLine="600"/>
        <w:rPr>
          <w:rFonts w:hint="eastAsia" w:ascii="仿宋_GB2312" w:hAnsi="宋体" w:eastAsia="仿宋_GB2312"/>
          <w:sz w:val="30"/>
          <w:szCs w:val="30"/>
          <w:highlight w:val="none"/>
          <w:lang w:eastAsia="zh-CN"/>
        </w:rPr>
      </w:pPr>
    </w:p>
    <w:p>
      <w:pPr>
        <w:ind w:firstLine="600"/>
        <w:jc w:val="right"/>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华宝信托有限责任公司</w:t>
      </w:r>
    </w:p>
    <w:p>
      <w:pPr>
        <w:ind w:firstLine="600"/>
        <w:jc w:val="right"/>
        <w:rPr>
          <w:rFonts w:hint="eastAsia" w:ascii="仿宋_GB2312" w:hAnsi="宋体" w:eastAsia="仿宋_GB2312"/>
          <w:sz w:val="30"/>
          <w:szCs w:val="30"/>
          <w:highlight w:val="none"/>
          <w:lang w:eastAsia="zh-CN"/>
        </w:rPr>
      </w:pPr>
      <w:r>
        <w:rPr>
          <w:rFonts w:hint="eastAsia" w:ascii="仿宋_GB2312" w:hAnsi="宋体" w:eastAsia="仿宋_GB2312"/>
          <w:sz w:val="30"/>
          <w:szCs w:val="30"/>
          <w:highlight w:val="none"/>
          <w:lang w:eastAsia="zh-CN"/>
        </w:rPr>
        <w:t>二零一九年一月八日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605"/>
    <w:rsid w:val="000044A3"/>
    <w:rsid w:val="000079F7"/>
    <w:rsid w:val="0001331C"/>
    <w:rsid w:val="0004724C"/>
    <w:rsid w:val="000627DE"/>
    <w:rsid w:val="000A654F"/>
    <w:rsid w:val="000C0C15"/>
    <w:rsid w:val="000F35ED"/>
    <w:rsid w:val="000F7526"/>
    <w:rsid w:val="0011063E"/>
    <w:rsid w:val="00112E26"/>
    <w:rsid w:val="0014781B"/>
    <w:rsid w:val="00192A57"/>
    <w:rsid w:val="00195D90"/>
    <w:rsid w:val="001F429D"/>
    <w:rsid w:val="001F4FA2"/>
    <w:rsid w:val="001F7AB9"/>
    <w:rsid w:val="002177DC"/>
    <w:rsid w:val="00270D90"/>
    <w:rsid w:val="00276EC4"/>
    <w:rsid w:val="00286225"/>
    <w:rsid w:val="00287CD9"/>
    <w:rsid w:val="002947F1"/>
    <w:rsid w:val="002948B3"/>
    <w:rsid w:val="002A2D7F"/>
    <w:rsid w:val="002B0FE6"/>
    <w:rsid w:val="002D3632"/>
    <w:rsid w:val="002E3605"/>
    <w:rsid w:val="002F2957"/>
    <w:rsid w:val="003001D7"/>
    <w:rsid w:val="00333095"/>
    <w:rsid w:val="0034607F"/>
    <w:rsid w:val="00353DD4"/>
    <w:rsid w:val="003555BB"/>
    <w:rsid w:val="00377B00"/>
    <w:rsid w:val="003B0589"/>
    <w:rsid w:val="003B624C"/>
    <w:rsid w:val="003E0F93"/>
    <w:rsid w:val="00402882"/>
    <w:rsid w:val="0045145C"/>
    <w:rsid w:val="004747E9"/>
    <w:rsid w:val="004944B6"/>
    <w:rsid w:val="004A4409"/>
    <w:rsid w:val="004B4B12"/>
    <w:rsid w:val="004D350E"/>
    <w:rsid w:val="004D452E"/>
    <w:rsid w:val="0053072A"/>
    <w:rsid w:val="00572565"/>
    <w:rsid w:val="005E51FD"/>
    <w:rsid w:val="00623EC1"/>
    <w:rsid w:val="006476F0"/>
    <w:rsid w:val="00655D26"/>
    <w:rsid w:val="00663A77"/>
    <w:rsid w:val="00676F83"/>
    <w:rsid w:val="006D2DE6"/>
    <w:rsid w:val="006D433F"/>
    <w:rsid w:val="00715CA2"/>
    <w:rsid w:val="007175D5"/>
    <w:rsid w:val="0072471C"/>
    <w:rsid w:val="00747465"/>
    <w:rsid w:val="00785994"/>
    <w:rsid w:val="007A22FA"/>
    <w:rsid w:val="007A4906"/>
    <w:rsid w:val="007A7957"/>
    <w:rsid w:val="007B3BFF"/>
    <w:rsid w:val="007C4302"/>
    <w:rsid w:val="007C435E"/>
    <w:rsid w:val="007D5AF1"/>
    <w:rsid w:val="007E745F"/>
    <w:rsid w:val="008009B1"/>
    <w:rsid w:val="00802179"/>
    <w:rsid w:val="00824F59"/>
    <w:rsid w:val="00833B3A"/>
    <w:rsid w:val="00850E7D"/>
    <w:rsid w:val="0087490A"/>
    <w:rsid w:val="00897C13"/>
    <w:rsid w:val="008A2ED5"/>
    <w:rsid w:val="008A6C04"/>
    <w:rsid w:val="008C18C9"/>
    <w:rsid w:val="008C5147"/>
    <w:rsid w:val="008E108C"/>
    <w:rsid w:val="00922928"/>
    <w:rsid w:val="00964FF8"/>
    <w:rsid w:val="009A7ED8"/>
    <w:rsid w:val="009B08D0"/>
    <w:rsid w:val="009B3BA3"/>
    <w:rsid w:val="009C27DC"/>
    <w:rsid w:val="009D0E85"/>
    <w:rsid w:val="009D5DBD"/>
    <w:rsid w:val="00A16BF2"/>
    <w:rsid w:val="00A31E99"/>
    <w:rsid w:val="00A400C3"/>
    <w:rsid w:val="00A676D3"/>
    <w:rsid w:val="00A774AD"/>
    <w:rsid w:val="00A8446A"/>
    <w:rsid w:val="00AA2B81"/>
    <w:rsid w:val="00AC2AE6"/>
    <w:rsid w:val="00AC3689"/>
    <w:rsid w:val="00AC46BA"/>
    <w:rsid w:val="00AC4B2F"/>
    <w:rsid w:val="00B059E2"/>
    <w:rsid w:val="00B10423"/>
    <w:rsid w:val="00B43CF9"/>
    <w:rsid w:val="00B6235E"/>
    <w:rsid w:val="00B678F3"/>
    <w:rsid w:val="00BA6E5D"/>
    <w:rsid w:val="00BD5C6E"/>
    <w:rsid w:val="00BD79B7"/>
    <w:rsid w:val="00BF22A3"/>
    <w:rsid w:val="00C16177"/>
    <w:rsid w:val="00C26DE4"/>
    <w:rsid w:val="00C2707B"/>
    <w:rsid w:val="00C35564"/>
    <w:rsid w:val="00C37018"/>
    <w:rsid w:val="00C540B3"/>
    <w:rsid w:val="00C62A09"/>
    <w:rsid w:val="00C714A7"/>
    <w:rsid w:val="00C7378B"/>
    <w:rsid w:val="00CA1453"/>
    <w:rsid w:val="00CC6698"/>
    <w:rsid w:val="00D04737"/>
    <w:rsid w:val="00D11CBA"/>
    <w:rsid w:val="00D23EF9"/>
    <w:rsid w:val="00D42092"/>
    <w:rsid w:val="00D826B7"/>
    <w:rsid w:val="00DB4147"/>
    <w:rsid w:val="00DB744C"/>
    <w:rsid w:val="00DC1A43"/>
    <w:rsid w:val="00DD1D55"/>
    <w:rsid w:val="00DE0C0B"/>
    <w:rsid w:val="00DE7E3F"/>
    <w:rsid w:val="00E23D62"/>
    <w:rsid w:val="00E26877"/>
    <w:rsid w:val="00E2785B"/>
    <w:rsid w:val="00E456F6"/>
    <w:rsid w:val="00E662C6"/>
    <w:rsid w:val="00E824CB"/>
    <w:rsid w:val="00E94BBE"/>
    <w:rsid w:val="00EF2B80"/>
    <w:rsid w:val="00F32329"/>
    <w:rsid w:val="00F47F6B"/>
    <w:rsid w:val="00F630A0"/>
    <w:rsid w:val="00F938E5"/>
    <w:rsid w:val="00FA6FCE"/>
    <w:rsid w:val="00FB2A05"/>
    <w:rsid w:val="00FC4A3E"/>
    <w:rsid w:val="00FC6DBC"/>
    <w:rsid w:val="00FD082E"/>
    <w:rsid w:val="00FD43E5"/>
    <w:rsid w:val="00FE4DBF"/>
    <w:rsid w:val="0C4B0A7D"/>
    <w:rsid w:val="19965C9B"/>
    <w:rsid w:val="48BF62AE"/>
    <w:rsid w:val="582B22F5"/>
    <w:rsid w:val="5C0C6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 w:type="character" w:customStyle="1" w:styleId="11">
    <w:name w:val="批注框文本 Char"/>
    <w:basedOn w:val="5"/>
    <w:link w:val="2"/>
    <w:semiHidden/>
    <w:qFormat/>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5</Pages>
  <Words>308</Words>
  <Characters>1759</Characters>
  <Lines>14</Lines>
  <Paragraphs>4</Paragraphs>
  <TotalTime>20</TotalTime>
  <ScaleCrop>false</ScaleCrop>
  <LinksUpToDate>false</LinksUpToDate>
  <CharactersWithSpaces>2063</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2018-10-08T07:51:00Z</dcterms:created>
  <dc:creator>蒋涛</dc:creator>
  <cp:lastModifiedBy>吴迪</cp:lastModifiedBy>
  <dcterms:modified xsi:type="dcterms:W3CDTF">2019-01-09T08:40:48Z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